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6C72939" w:rsidR="00F92268" w:rsidRPr="00FF66BF" w:rsidRDefault="00503E98" w:rsidP="00F246C7">
            <w:pPr>
              <w:pStyle w:val="RefTableHeader"/>
            </w:pPr>
            <w:r>
              <w:t>6294-A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67E88277" w14:textId="77777777" w:rsidR="008A7707" w:rsidRDefault="00503E98" w:rsidP="008A7707">
      <w:pPr>
        <w:pStyle w:val="Heading1"/>
      </w:pPr>
      <w:r w:rsidRPr="00503E98">
        <w:t>Specialty Guideline Management</w:t>
      </w:r>
      <w:r w:rsidRPr="00BD1CC1">
        <w:br/>
      </w:r>
      <w:proofErr w:type="spellStart"/>
      <w:r w:rsidRPr="00503E98">
        <w:t>Iwilfin</w:t>
      </w:r>
      <w:proofErr w:type="spellEnd"/>
    </w:p>
    <w:p w14:paraId="78861C92" w14:textId="05FBBB84" w:rsidR="00203468" w:rsidRPr="00BD1CC1" w:rsidRDefault="00C64534" w:rsidP="008A7707">
      <w:pPr>
        <w:pStyle w:val="Heading2"/>
      </w:pPr>
      <w:r w:rsidRPr="00BD1CC1">
        <w:t xml:space="preserve">Products Referenced by this </w:t>
      </w:r>
      <w:r w:rsidR="00501602" w:rsidRPr="00BD1CC1">
        <w:t>Document</w:t>
      </w:r>
    </w:p>
    <w:p w14:paraId="07868740" w14:textId="4E072E4C" w:rsidR="00725714" w:rsidRDefault="00D82D85" w:rsidP="00503E9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D94B1D">
        <w:t>Over-</w:t>
      </w:r>
      <w:r w:rsidR="008A7707">
        <w:t>t</w:t>
      </w:r>
      <w:r w:rsidR="00D94B1D">
        <w:t>he-</w:t>
      </w:r>
      <w:r w:rsidR="008A7707">
        <w:t>c</w:t>
      </w:r>
      <w:r w:rsidR="00D94B1D">
        <w:t>ounter (</w:t>
      </w:r>
      <w:r w:rsidRPr="00BD1CC1">
        <w:t>OTC</w:t>
      </w:r>
      <w:r w:rsidR="00D94B1D">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5881AD40" w:rsidR="005B4D7C" w:rsidRPr="00BD1CC1" w:rsidRDefault="00503E98">
            <w:pPr>
              <w:pStyle w:val="TableDataUnpadded"/>
            </w:pPr>
            <w:r w:rsidRPr="00503E98">
              <w:t>Iwilfin</w:t>
            </w:r>
          </w:p>
        </w:tc>
        <w:tc>
          <w:tcPr>
            <w:tcW w:w="5595" w:type="dxa"/>
          </w:tcPr>
          <w:p w14:paraId="1A09710D" w14:textId="0E6B4DCD" w:rsidR="005B4D7C" w:rsidRPr="00BD1CC1" w:rsidRDefault="00503E98">
            <w:pPr>
              <w:pStyle w:val="TableDataUnpadded"/>
            </w:pPr>
            <w:r w:rsidRPr="00503E98">
              <w:t>eflornithine</w:t>
            </w:r>
          </w:p>
        </w:tc>
      </w:tr>
    </w:tbl>
    <w:p w14:paraId="14CE6108" w14:textId="25555CB8" w:rsidR="00FC1AAD" w:rsidRDefault="00ED052F" w:rsidP="00AA2A94">
      <w:pPr>
        <w:pStyle w:val="Heading2"/>
        <w:tabs>
          <w:tab w:val="left" w:pos="9540"/>
        </w:tabs>
      </w:pPr>
      <w:r>
        <w:t>Indications</w:t>
      </w:r>
    </w:p>
    <w:p w14:paraId="327C740A" w14:textId="46399879" w:rsidR="00503E98" w:rsidRPr="00503E98" w:rsidRDefault="00503E98" w:rsidP="00527EFA">
      <w:pPr>
        <w:pStyle w:val="BodyText"/>
        <w:spacing w:after="60"/>
      </w:pPr>
      <w:r w:rsidRPr="00503E98">
        <w:t>The indications below including FDA-approved indications and compendial uses are considered a covered benefit provided that all the approval criteria are met and the member has no exclusions to the prescribed therapy.</w:t>
      </w:r>
    </w:p>
    <w:p w14:paraId="134B5687" w14:textId="05A9313D" w:rsidR="00ED052F" w:rsidRDefault="00ED052F" w:rsidP="00ED052F">
      <w:pPr>
        <w:pStyle w:val="Heading3"/>
        <w:keepNext w:val="0"/>
        <w:rPr>
          <w:vertAlign w:val="superscript"/>
        </w:rPr>
      </w:pPr>
      <w:r w:rsidRPr="00BD1CC1">
        <w:t>FDA-approved Indication</w:t>
      </w:r>
    </w:p>
    <w:p w14:paraId="3177E837" w14:textId="6650ECE1" w:rsidR="00503E98" w:rsidRPr="00503E98" w:rsidRDefault="00503E98" w:rsidP="00527EFA">
      <w:pPr>
        <w:pStyle w:val="BodyText"/>
        <w:spacing w:after="60"/>
      </w:pPr>
      <w:r w:rsidRPr="00503E98">
        <w:t>Reduce the risk of relapse in adult and pediatric patients with high-risk neuroblastoma (HRNB) who have demonstrated at least a partial response to prior multiagent, multimodality therapy including anti-GD2 immunotherapy</w:t>
      </w:r>
    </w:p>
    <w:p w14:paraId="6014510F" w14:textId="499C530C" w:rsidR="00503E98" w:rsidRPr="00503E98" w:rsidRDefault="00503E98" w:rsidP="00527EFA">
      <w:pPr>
        <w:pStyle w:val="BodyText"/>
        <w:spacing w:after="0"/>
      </w:pPr>
      <w:r w:rsidRPr="00503E98">
        <w:t>All other indications are considered experimental/investigational and not medically necessary.</w:t>
      </w:r>
    </w:p>
    <w:p w14:paraId="50A38FBA" w14:textId="048802AA" w:rsidR="00FE0C63" w:rsidRDefault="00685107" w:rsidP="00527EFA">
      <w:pPr>
        <w:pStyle w:val="Heading2"/>
        <w:keepNext w:val="0"/>
        <w:widowControl w:val="0"/>
      </w:pPr>
      <w:r>
        <w:t>Coverage Criteria</w:t>
      </w:r>
    </w:p>
    <w:p w14:paraId="34E80681" w14:textId="35914312" w:rsidR="00503E98" w:rsidRPr="00503E98" w:rsidRDefault="00503E98" w:rsidP="00527EFA">
      <w:pPr>
        <w:pStyle w:val="Heading3"/>
        <w:keepNext w:val="0"/>
        <w:keepLines w:val="0"/>
        <w:widowControl w:val="0"/>
        <w:rPr>
          <w:lang w:val="en-IN"/>
        </w:rPr>
      </w:pPr>
      <w:r w:rsidRPr="00503E98">
        <w:t>High-risk neuroblastoma (HRNB)</w:t>
      </w:r>
    </w:p>
    <w:p w14:paraId="444E51B0" w14:textId="04090459" w:rsidR="00503E98" w:rsidRPr="00503E98" w:rsidRDefault="00503E98" w:rsidP="00527EFA">
      <w:pPr>
        <w:pStyle w:val="BodyText"/>
        <w:widowControl w:val="0"/>
      </w:pPr>
      <w:r w:rsidRPr="00503E98">
        <w:t>Authorization of 12 months may be granted to reduce the risk of relapse in members with HRNB who have demonstrated at least a partial response to prior multiagent, multimodality therapy including anti-GD2 immunotherapy (e.g., dinutuximab [Unituxin], naxitamab-gqgk [Danyelza]).</w:t>
      </w:r>
    </w:p>
    <w:p w14:paraId="3A643EC3" w14:textId="70DADA32" w:rsidR="00A501AC" w:rsidRDefault="00A501AC" w:rsidP="00BD0D0D">
      <w:pPr>
        <w:pStyle w:val="Heading2"/>
        <w:tabs>
          <w:tab w:val="left" w:pos="9040"/>
        </w:tabs>
      </w:pPr>
      <w:r w:rsidRPr="00BD1CC1">
        <w:lastRenderedPageBreak/>
        <w:t>Continuation of Therapy</w:t>
      </w:r>
    </w:p>
    <w:p w14:paraId="44AFB318" w14:textId="45DBDA7A" w:rsidR="00503E98" w:rsidRPr="00503E98" w:rsidRDefault="00503E98" w:rsidP="00503E98">
      <w:pPr>
        <w:pStyle w:val="BodyText"/>
        <w:rPr>
          <w:rStyle w:val="eop"/>
        </w:rPr>
      </w:pPr>
      <w:r w:rsidRPr="00503E98">
        <w:rPr>
          <w:rStyle w:val="normaltextrun"/>
        </w:rPr>
        <w:t>Authorization of 12 months may be granted (up to 24 months total therapy) for continued treatment in members requesting reauthorization for an indication listed in the coverage criteria section when there is no evidence of unacceptable toxicity or disease progression while on the current regimen.</w:t>
      </w:r>
    </w:p>
    <w:p w14:paraId="10DA4309" w14:textId="16F190F9" w:rsidR="00FF66BF" w:rsidRDefault="00FF66BF" w:rsidP="00FF66BF">
      <w:pPr>
        <w:pStyle w:val="Heading2"/>
      </w:pPr>
      <w:r w:rsidRPr="008D1B34">
        <w:t>References</w:t>
      </w:r>
    </w:p>
    <w:p w14:paraId="6FABCDFD" w14:textId="0ED0C8CA" w:rsidR="00503E98" w:rsidRPr="00FE2E9C" w:rsidRDefault="00503E98" w:rsidP="00FE2E9C">
      <w:pPr>
        <w:pStyle w:val="BodyText"/>
        <w:numPr>
          <w:ilvl w:val="0"/>
          <w:numId w:val="28"/>
        </w:numPr>
      </w:pPr>
      <w:r w:rsidRPr="00503E98">
        <w:t xml:space="preserve">Iwilfin [package insert]. Louisville, KY: US </w:t>
      </w:r>
      <w:proofErr w:type="spellStart"/>
      <w:r w:rsidRPr="00503E98">
        <w:t>WorldMeds</w:t>
      </w:r>
      <w:proofErr w:type="spellEnd"/>
      <w:r w:rsidRPr="00503E98">
        <w:t>, LLC; December 2023</w:t>
      </w:r>
      <w:r w:rsidR="00FE2E9C">
        <w:t>.</w:t>
      </w:r>
    </w:p>
    <w:sectPr w:rsidR="00503E98" w:rsidRPr="00FE2E9C"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A0137" w14:textId="77777777" w:rsidR="00914B8E" w:rsidRDefault="00914B8E">
      <w:r>
        <w:separator/>
      </w:r>
    </w:p>
  </w:endnote>
  <w:endnote w:type="continuationSeparator" w:id="0">
    <w:p w14:paraId="51A77C9D" w14:textId="77777777" w:rsidR="00914B8E" w:rsidRDefault="00914B8E">
      <w:r>
        <w:continuationSeparator/>
      </w:r>
    </w:p>
  </w:endnote>
  <w:endnote w:type="continuationNotice" w:id="1">
    <w:p w14:paraId="271BA33E" w14:textId="77777777" w:rsidR="00914B8E" w:rsidRDefault="00914B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AE7EDD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E2E9C" w:rsidRPr="00FE2E9C">
      <w:rPr>
        <w:rFonts w:cs="Arial"/>
        <w:noProof/>
        <w:sz w:val="16"/>
        <w:szCs w:val="16"/>
      </w:rPr>
      <w:t>Iwilfin</w:t>
    </w:r>
    <w:r w:rsidR="00FE2E9C">
      <w:rPr>
        <w:rFonts w:cs="Arial"/>
        <w:noProof/>
        <w:snapToGrid w:val="0"/>
        <w:color w:val="000000"/>
        <w:sz w:val="16"/>
        <w:szCs w:val="16"/>
      </w:rPr>
      <w:t xml:space="preserve"> SGM 6294-A</w:t>
    </w:r>
    <w:r w:rsidR="00FE2E9C" w:rsidRPr="00FE2E9C">
      <w:rPr>
        <w:rFonts w:cs="Arial"/>
        <w:noProof/>
        <w:sz w:val="16"/>
        <w:szCs w:val="16"/>
      </w:rPr>
      <w:t xml:space="preserve"> P2024</w:t>
    </w:r>
    <w:r w:rsidR="00FE2E9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6D7E1B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86B48E3" w:rsidR="00F75C81" w:rsidRPr="008A7707" w:rsidRDefault="00C36B72" w:rsidP="008A7707">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7A239D4"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E2E9C" w:rsidRPr="00FE2E9C">
      <w:rPr>
        <w:rFonts w:cs="Arial"/>
        <w:noProof/>
        <w:sz w:val="16"/>
        <w:szCs w:val="16"/>
      </w:rPr>
      <w:t>Iwilfin</w:t>
    </w:r>
    <w:r w:rsidR="00FE2E9C">
      <w:rPr>
        <w:rFonts w:cs="Arial"/>
        <w:noProof/>
        <w:snapToGrid w:val="0"/>
        <w:color w:val="000000"/>
        <w:sz w:val="16"/>
        <w:szCs w:val="16"/>
      </w:rPr>
      <w:t xml:space="preserve"> SGM 6294-A</w:t>
    </w:r>
    <w:r w:rsidR="00FE2E9C" w:rsidRPr="00FE2E9C">
      <w:rPr>
        <w:rFonts w:cs="Arial"/>
        <w:noProof/>
        <w:sz w:val="16"/>
        <w:szCs w:val="16"/>
      </w:rPr>
      <w:t xml:space="preserve"> 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7CD4D6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CBB4830" w:rsidR="00ED04EC" w:rsidRPr="008A7707" w:rsidRDefault="00F50D98" w:rsidP="008A7707">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2D675" w14:textId="77777777" w:rsidR="00914B8E" w:rsidRDefault="00914B8E">
      <w:r>
        <w:separator/>
      </w:r>
    </w:p>
  </w:footnote>
  <w:footnote w:type="continuationSeparator" w:id="0">
    <w:p w14:paraId="7C014469" w14:textId="77777777" w:rsidR="00914B8E" w:rsidRDefault="00914B8E">
      <w:r>
        <w:continuationSeparator/>
      </w:r>
    </w:p>
  </w:footnote>
  <w:footnote w:type="continuationNotice" w:id="1">
    <w:p w14:paraId="3EFB6B38" w14:textId="77777777" w:rsidR="00914B8E" w:rsidRDefault="00914B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BD0D0D" w14:paraId="703C6588" w14:textId="77777777">
      <w:trPr>
        <w:trHeight w:val="378"/>
        <w:jc w:val="right"/>
      </w:trPr>
      <w:tc>
        <w:tcPr>
          <w:tcW w:w="1854" w:type="dxa"/>
          <w:hideMark/>
        </w:tcPr>
        <w:p w14:paraId="51CE3E64" w14:textId="681F2ECB" w:rsidR="00ED04EC" w:rsidRPr="00BD0D0D" w:rsidRDefault="00BD0D0D" w:rsidP="00ED04EC">
          <w:pPr>
            <w:pStyle w:val="Header"/>
            <w:rPr>
              <w:rFonts w:cs="Arial"/>
              <w:sz w:val="16"/>
              <w:szCs w:val="16"/>
            </w:rPr>
          </w:pPr>
          <w:r w:rsidRPr="00BD0D0D">
            <w:rPr>
              <w:rFonts w:cs="Arial"/>
              <w:sz w:val="16"/>
              <w:szCs w:val="16"/>
            </w:rPr>
            <w:t>6294-A</w:t>
          </w:r>
        </w:p>
      </w:tc>
    </w:tr>
  </w:tbl>
  <w:p w14:paraId="0D5ACCC2" w14:textId="462A1075" w:rsidR="00ED04EC" w:rsidRPr="00BD0D0D"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B8347C"/>
    <w:multiLevelType w:val="hybridMultilevel"/>
    <w:tmpl w:val="8A02ED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6"/>
  </w:num>
  <w:num w:numId="18" w16cid:durableId="299724409">
    <w:abstractNumId w:val="20"/>
  </w:num>
  <w:num w:numId="19" w16cid:durableId="214585573">
    <w:abstractNumId w:val="13"/>
  </w:num>
  <w:num w:numId="20" w16cid:durableId="1289816170">
    <w:abstractNumId w:val="14"/>
  </w:num>
  <w:num w:numId="21" w16cid:durableId="1066490929">
    <w:abstractNumId w:val="27"/>
  </w:num>
  <w:num w:numId="22" w16cid:durableId="1472481103">
    <w:abstractNumId w:val="22"/>
  </w:num>
  <w:num w:numId="23" w16cid:durableId="1997420403">
    <w:abstractNumId w:val="24"/>
  </w:num>
  <w:num w:numId="24" w16cid:durableId="33312838">
    <w:abstractNumId w:val="21"/>
  </w:num>
  <w:num w:numId="25" w16cid:durableId="507404939">
    <w:abstractNumId w:val="15"/>
  </w:num>
  <w:num w:numId="26" w16cid:durableId="1950313333">
    <w:abstractNumId w:val="18"/>
  </w:num>
  <w:num w:numId="27" w16cid:durableId="1866016584">
    <w:abstractNumId w:val="17"/>
  </w:num>
  <w:num w:numId="28" w16cid:durableId="298650103">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672"/>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0E2"/>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0E69"/>
    <w:rsid w:val="00341929"/>
    <w:rsid w:val="00341F47"/>
    <w:rsid w:val="00342365"/>
    <w:rsid w:val="00343BE2"/>
    <w:rsid w:val="00343E90"/>
    <w:rsid w:val="00345D48"/>
    <w:rsid w:val="003468AA"/>
    <w:rsid w:val="00346CC4"/>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E98"/>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27EFA"/>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299"/>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7198"/>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07DCA"/>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57C9"/>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07"/>
    <w:rsid w:val="008A7775"/>
    <w:rsid w:val="008A7CB0"/>
    <w:rsid w:val="008A7DD8"/>
    <w:rsid w:val="008B0016"/>
    <w:rsid w:val="008B00D1"/>
    <w:rsid w:val="008B0A79"/>
    <w:rsid w:val="008B0EAA"/>
    <w:rsid w:val="008B1332"/>
    <w:rsid w:val="008B1887"/>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A07"/>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4B8E"/>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3917"/>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46"/>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0D0D"/>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4B1D"/>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851"/>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C2E"/>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2E9C"/>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198906987">
      <w:bodyDiv w:val="1"/>
      <w:marLeft w:val="0"/>
      <w:marRight w:val="0"/>
      <w:marTop w:val="0"/>
      <w:marBottom w:val="0"/>
      <w:divBdr>
        <w:top w:val="none" w:sz="0" w:space="0" w:color="auto"/>
        <w:left w:val="none" w:sz="0" w:space="0" w:color="auto"/>
        <w:bottom w:val="none" w:sz="0" w:space="0" w:color="auto"/>
        <w:right w:val="none" w:sz="0" w:space="0" w:color="auto"/>
      </w:divBdr>
      <w:divsChild>
        <w:div w:id="1041514783">
          <w:marLeft w:val="0"/>
          <w:marRight w:val="0"/>
          <w:marTop w:val="0"/>
          <w:marBottom w:val="0"/>
          <w:divBdr>
            <w:top w:val="none" w:sz="0" w:space="0" w:color="auto"/>
            <w:left w:val="none" w:sz="0" w:space="0" w:color="auto"/>
            <w:bottom w:val="none" w:sz="0" w:space="0" w:color="auto"/>
            <w:right w:val="none" w:sz="0" w:space="0" w:color="auto"/>
          </w:divBdr>
        </w:div>
        <w:div w:id="1336347674">
          <w:marLeft w:val="0"/>
          <w:marRight w:val="0"/>
          <w:marTop w:val="0"/>
          <w:marBottom w:val="0"/>
          <w:divBdr>
            <w:top w:val="none" w:sz="0" w:space="0" w:color="auto"/>
            <w:left w:val="none" w:sz="0" w:space="0" w:color="auto"/>
            <w:bottom w:val="none" w:sz="0" w:space="0" w:color="auto"/>
            <w:right w:val="none" w:sz="0" w:space="0" w:color="auto"/>
          </w:divBdr>
        </w:div>
        <w:div w:id="1022049043">
          <w:marLeft w:val="0"/>
          <w:marRight w:val="0"/>
          <w:marTop w:val="0"/>
          <w:marBottom w:val="0"/>
          <w:divBdr>
            <w:top w:val="none" w:sz="0" w:space="0" w:color="auto"/>
            <w:left w:val="none" w:sz="0" w:space="0" w:color="auto"/>
            <w:bottom w:val="none" w:sz="0" w:space="0" w:color="auto"/>
            <w:right w:val="none" w:sz="0" w:space="0" w:color="auto"/>
          </w:divBdr>
        </w:div>
        <w:div w:id="1833794372">
          <w:marLeft w:val="0"/>
          <w:marRight w:val="0"/>
          <w:marTop w:val="0"/>
          <w:marBottom w:val="0"/>
          <w:divBdr>
            <w:top w:val="none" w:sz="0" w:space="0" w:color="auto"/>
            <w:left w:val="none" w:sz="0" w:space="0" w:color="auto"/>
            <w:bottom w:val="none" w:sz="0" w:space="0" w:color="auto"/>
            <w:right w:val="none" w:sz="0" w:space="0" w:color="auto"/>
          </w:divBdr>
        </w:div>
      </w:divsChild>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6482956">
      <w:bodyDiv w:val="1"/>
      <w:marLeft w:val="0"/>
      <w:marRight w:val="0"/>
      <w:marTop w:val="0"/>
      <w:marBottom w:val="0"/>
      <w:divBdr>
        <w:top w:val="none" w:sz="0" w:space="0" w:color="auto"/>
        <w:left w:val="none" w:sz="0" w:space="0" w:color="auto"/>
        <w:bottom w:val="none" w:sz="0" w:space="0" w:color="auto"/>
        <w:right w:val="none" w:sz="0" w:space="0" w:color="auto"/>
      </w:divBdr>
      <w:divsChild>
        <w:div w:id="143277764">
          <w:marLeft w:val="0"/>
          <w:marRight w:val="0"/>
          <w:marTop w:val="0"/>
          <w:marBottom w:val="0"/>
          <w:divBdr>
            <w:top w:val="none" w:sz="0" w:space="0" w:color="auto"/>
            <w:left w:val="none" w:sz="0" w:space="0" w:color="auto"/>
            <w:bottom w:val="none" w:sz="0" w:space="0" w:color="auto"/>
            <w:right w:val="none" w:sz="0" w:space="0" w:color="auto"/>
          </w:divBdr>
        </w:div>
        <w:div w:id="1911184986">
          <w:marLeft w:val="0"/>
          <w:marRight w:val="0"/>
          <w:marTop w:val="0"/>
          <w:marBottom w:val="0"/>
          <w:divBdr>
            <w:top w:val="none" w:sz="0" w:space="0" w:color="auto"/>
            <w:left w:val="none" w:sz="0" w:space="0" w:color="auto"/>
            <w:bottom w:val="none" w:sz="0" w:space="0" w:color="auto"/>
            <w:right w:val="none" w:sz="0" w:space="0" w:color="auto"/>
          </w:divBdr>
        </w:div>
        <w:div w:id="1479149670">
          <w:marLeft w:val="0"/>
          <w:marRight w:val="0"/>
          <w:marTop w:val="0"/>
          <w:marBottom w:val="0"/>
          <w:divBdr>
            <w:top w:val="none" w:sz="0" w:space="0" w:color="auto"/>
            <w:left w:val="none" w:sz="0" w:space="0" w:color="auto"/>
            <w:bottom w:val="none" w:sz="0" w:space="0" w:color="auto"/>
            <w:right w:val="none" w:sz="0" w:space="0" w:color="auto"/>
          </w:divBdr>
        </w:div>
        <w:div w:id="1317295851">
          <w:marLeft w:val="0"/>
          <w:marRight w:val="0"/>
          <w:marTop w:val="0"/>
          <w:marBottom w:val="0"/>
          <w:divBdr>
            <w:top w:val="none" w:sz="0" w:space="0" w:color="auto"/>
            <w:left w:val="none" w:sz="0" w:space="0" w:color="auto"/>
            <w:bottom w:val="none" w:sz="0" w:space="0" w:color="auto"/>
            <w:right w:val="none" w:sz="0" w:space="0" w:color="auto"/>
          </w:divBdr>
        </w:div>
      </w:divsChild>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18924523">
      <w:bodyDiv w:val="1"/>
      <w:marLeft w:val="0"/>
      <w:marRight w:val="0"/>
      <w:marTop w:val="0"/>
      <w:marBottom w:val="0"/>
      <w:divBdr>
        <w:top w:val="none" w:sz="0" w:space="0" w:color="auto"/>
        <w:left w:val="none" w:sz="0" w:space="0" w:color="auto"/>
        <w:bottom w:val="none" w:sz="0" w:space="0" w:color="auto"/>
        <w:right w:val="none" w:sz="0" w:space="0" w:color="auto"/>
      </w:divBdr>
      <w:divsChild>
        <w:div w:id="2115251228">
          <w:marLeft w:val="0"/>
          <w:marRight w:val="0"/>
          <w:marTop w:val="0"/>
          <w:marBottom w:val="0"/>
          <w:divBdr>
            <w:top w:val="none" w:sz="0" w:space="0" w:color="auto"/>
            <w:left w:val="none" w:sz="0" w:space="0" w:color="auto"/>
            <w:bottom w:val="none" w:sz="0" w:space="0" w:color="auto"/>
            <w:right w:val="none" w:sz="0" w:space="0" w:color="auto"/>
          </w:divBdr>
        </w:div>
        <w:div w:id="1289823962">
          <w:marLeft w:val="0"/>
          <w:marRight w:val="0"/>
          <w:marTop w:val="0"/>
          <w:marBottom w:val="0"/>
          <w:divBdr>
            <w:top w:val="none" w:sz="0" w:space="0" w:color="auto"/>
            <w:left w:val="none" w:sz="0" w:space="0" w:color="auto"/>
            <w:bottom w:val="none" w:sz="0" w:space="0" w:color="auto"/>
            <w:right w:val="none" w:sz="0" w:space="0" w:color="auto"/>
          </w:divBdr>
        </w:div>
        <w:div w:id="55860299">
          <w:marLeft w:val="0"/>
          <w:marRight w:val="0"/>
          <w:marTop w:val="0"/>
          <w:marBottom w:val="0"/>
          <w:divBdr>
            <w:top w:val="none" w:sz="0" w:space="0" w:color="auto"/>
            <w:left w:val="none" w:sz="0" w:space="0" w:color="auto"/>
            <w:bottom w:val="none" w:sz="0" w:space="0" w:color="auto"/>
            <w:right w:val="none" w:sz="0" w:space="0" w:color="auto"/>
          </w:divBdr>
        </w:div>
        <w:div w:id="992028455">
          <w:marLeft w:val="0"/>
          <w:marRight w:val="0"/>
          <w:marTop w:val="0"/>
          <w:marBottom w:val="0"/>
          <w:divBdr>
            <w:top w:val="none" w:sz="0" w:space="0" w:color="auto"/>
            <w:left w:val="none" w:sz="0" w:space="0" w:color="auto"/>
            <w:bottom w:val="none" w:sz="0" w:space="0" w:color="auto"/>
            <w:right w:val="none" w:sz="0" w:space="0" w:color="auto"/>
          </w:divBdr>
        </w:div>
      </w:divsChild>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35326419">
      <w:bodyDiv w:val="1"/>
      <w:marLeft w:val="0"/>
      <w:marRight w:val="0"/>
      <w:marTop w:val="0"/>
      <w:marBottom w:val="0"/>
      <w:divBdr>
        <w:top w:val="none" w:sz="0" w:space="0" w:color="auto"/>
        <w:left w:val="none" w:sz="0" w:space="0" w:color="auto"/>
        <w:bottom w:val="none" w:sz="0" w:space="0" w:color="auto"/>
        <w:right w:val="none" w:sz="0" w:space="0" w:color="auto"/>
      </w:divBdr>
      <w:divsChild>
        <w:div w:id="364453475">
          <w:marLeft w:val="0"/>
          <w:marRight w:val="0"/>
          <w:marTop w:val="0"/>
          <w:marBottom w:val="0"/>
          <w:divBdr>
            <w:top w:val="none" w:sz="0" w:space="0" w:color="auto"/>
            <w:left w:val="none" w:sz="0" w:space="0" w:color="auto"/>
            <w:bottom w:val="none" w:sz="0" w:space="0" w:color="auto"/>
            <w:right w:val="none" w:sz="0" w:space="0" w:color="auto"/>
          </w:divBdr>
        </w:div>
        <w:div w:id="1384212329">
          <w:marLeft w:val="0"/>
          <w:marRight w:val="0"/>
          <w:marTop w:val="0"/>
          <w:marBottom w:val="0"/>
          <w:divBdr>
            <w:top w:val="none" w:sz="0" w:space="0" w:color="auto"/>
            <w:left w:val="none" w:sz="0" w:space="0" w:color="auto"/>
            <w:bottom w:val="none" w:sz="0" w:space="0" w:color="auto"/>
            <w:right w:val="none" w:sz="0" w:space="0" w:color="auto"/>
          </w:divBdr>
        </w:div>
        <w:div w:id="1490557402">
          <w:marLeft w:val="0"/>
          <w:marRight w:val="0"/>
          <w:marTop w:val="0"/>
          <w:marBottom w:val="0"/>
          <w:divBdr>
            <w:top w:val="none" w:sz="0" w:space="0" w:color="auto"/>
            <w:left w:val="none" w:sz="0" w:space="0" w:color="auto"/>
            <w:bottom w:val="none" w:sz="0" w:space="0" w:color="auto"/>
            <w:right w:val="none" w:sz="0" w:space="0" w:color="auto"/>
          </w:divBdr>
        </w:div>
        <w:div w:id="1355421944">
          <w:marLeft w:val="0"/>
          <w:marRight w:val="0"/>
          <w:marTop w:val="0"/>
          <w:marBottom w:val="0"/>
          <w:divBdr>
            <w:top w:val="none" w:sz="0" w:space="0" w:color="auto"/>
            <w:left w:val="none" w:sz="0" w:space="0" w:color="auto"/>
            <w:bottom w:val="none" w:sz="0" w:space="0" w:color="auto"/>
            <w:right w:val="none" w:sz="0" w:space="0" w:color="auto"/>
          </w:divBdr>
        </w:div>
      </w:divsChild>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1072633">
      <w:bodyDiv w:val="1"/>
      <w:marLeft w:val="0"/>
      <w:marRight w:val="0"/>
      <w:marTop w:val="0"/>
      <w:marBottom w:val="0"/>
      <w:divBdr>
        <w:top w:val="none" w:sz="0" w:space="0" w:color="auto"/>
        <w:left w:val="none" w:sz="0" w:space="0" w:color="auto"/>
        <w:bottom w:val="none" w:sz="0" w:space="0" w:color="auto"/>
        <w:right w:val="none" w:sz="0" w:space="0" w:color="auto"/>
      </w:divBdr>
      <w:divsChild>
        <w:div w:id="980229841">
          <w:marLeft w:val="0"/>
          <w:marRight w:val="0"/>
          <w:marTop w:val="0"/>
          <w:marBottom w:val="0"/>
          <w:divBdr>
            <w:top w:val="none" w:sz="0" w:space="0" w:color="auto"/>
            <w:left w:val="none" w:sz="0" w:space="0" w:color="auto"/>
            <w:bottom w:val="none" w:sz="0" w:space="0" w:color="auto"/>
            <w:right w:val="none" w:sz="0" w:space="0" w:color="auto"/>
          </w:divBdr>
        </w:div>
        <w:div w:id="954560446">
          <w:marLeft w:val="0"/>
          <w:marRight w:val="0"/>
          <w:marTop w:val="0"/>
          <w:marBottom w:val="0"/>
          <w:divBdr>
            <w:top w:val="none" w:sz="0" w:space="0" w:color="auto"/>
            <w:left w:val="none" w:sz="0" w:space="0" w:color="auto"/>
            <w:bottom w:val="none" w:sz="0" w:space="0" w:color="auto"/>
            <w:right w:val="none" w:sz="0" w:space="0" w:color="auto"/>
          </w:divBdr>
        </w:div>
      </w:divsChild>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89238023">
      <w:bodyDiv w:val="1"/>
      <w:marLeft w:val="0"/>
      <w:marRight w:val="0"/>
      <w:marTop w:val="0"/>
      <w:marBottom w:val="0"/>
      <w:divBdr>
        <w:top w:val="none" w:sz="0" w:space="0" w:color="auto"/>
        <w:left w:val="none" w:sz="0" w:space="0" w:color="auto"/>
        <w:bottom w:val="none" w:sz="0" w:space="0" w:color="auto"/>
        <w:right w:val="none" w:sz="0" w:space="0" w:color="auto"/>
      </w:divBdr>
      <w:divsChild>
        <w:div w:id="1548226049">
          <w:marLeft w:val="0"/>
          <w:marRight w:val="0"/>
          <w:marTop w:val="0"/>
          <w:marBottom w:val="0"/>
          <w:divBdr>
            <w:top w:val="none" w:sz="0" w:space="0" w:color="auto"/>
            <w:left w:val="none" w:sz="0" w:space="0" w:color="auto"/>
            <w:bottom w:val="none" w:sz="0" w:space="0" w:color="auto"/>
            <w:right w:val="none" w:sz="0" w:space="0" w:color="auto"/>
          </w:divBdr>
        </w:div>
        <w:div w:id="925651306">
          <w:marLeft w:val="0"/>
          <w:marRight w:val="0"/>
          <w:marTop w:val="0"/>
          <w:marBottom w:val="0"/>
          <w:divBdr>
            <w:top w:val="none" w:sz="0" w:space="0" w:color="auto"/>
            <w:left w:val="none" w:sz="0" w:space="0" w:color="auto"/>
            <w:bottom w:val="none" w:sz="0" w:space="0" w:color="auto"/>
            <w:right w:val="none" w:sz="0" w:space="0" w:color="auto"/>
          </w:divBdr>
        </w:div>
        <w:div w:id="1955944724">
          <w:marLeft w:val="0"/>
          <w:marRight w:val="0"/>
          <w:marTop w:val="0"/>
          <w:marBottom w:val="0"/>
          <w:divBdr>
            <w:top w:val="none" w:sz="0" w:space="0" w:color="auto"/>
            <w:left w:val="none" w:sz="0" w:space="0" w:color="auto"/>
            <w:bottom w:val="none" w:sz="0" w:space="0" w:color="auto"/>
            <w:right w:val="none" w:sz="0" w:space="0" w:color="auto"/>
          </w:divBdr>
        </w:div>
      </w:divsChild>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06323896">
      <w:bodyDiv w:val="1"/>
      <w:marLeft w:val="0"/>
      <w:marRight w:val="0"/>
      <w:marTop w:val="0"/>
      <w:marBottom w:val="0"/>
      <w:divBdr>
        <w:top w:val="none" w:sz="0" w:space="0" w:color="auto"/>
        <w:left w:val="none" w:sz="0" w:space="0" w:color="auto"/>
        <w:bottom w:val="none" w:sz="0" w:space="0" w:color="auto"/>
        <w:right w:val="none" w:sz="0" w:space="0" w:color="auto"/>
      </w:divBdr>
      <w:divsChild>
        <w:div w:id="1631085544">
          <w:marLeft w:val="0"/>
          <w:marRight w:val="0"/>
          <w:marTop w:val="0"/>
          <w:marBottom w:val="0"/>
          <w:divBdr>
            <w:top w:val="none" w:sz="0" w:space="0" w:color="auto"/>
            <w:left w:val="none" w:sz="0" w:space="0" w:color="auto"/>
            <w:bottom w:val="none" w:sz="0" w:space="0" w:color="auto"/>
            <w:right w:val="none" w:sz="0" w:space="0" w:color="auto"/>
          </w:divBdr>
        </w:div>
        <w:div w:id="1881822450">
          <w:marLeft w:val="0"/>
          <w:marRight w:val="0"/>
          <w:marTop w:val="0"/>
          <w:marBottom w:val="0"/>
          <w:divBdr>
            <w:top w:val="none" w:sz="0" w:space="0" w:color="auto"/>
            <w:left w:val="none" w:sz="0" w:space="0" w:color="auto"/>
            <w:bottom w:val="none" w:sz="0" w:space="0" w:color="auto"/>
            <w:right w:val="none" w:sz="0" w:space="0" w:color="auto"/>
          </w:divBdr>
        </w:div>
      </w:divsChild>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87997664">
      <w:bodyDiv w:val="1"/>
      <w:marLeft w:val="0"/>
      <w:marRight w:val="0"/>
      <w:marTop w:val="0"/>
      <w:marBottom w:val="0"/>
      <w:divBdr>
        <w:top w:val="none" w:sz="0" w:space="0" w:color="auto"/>
        <w:left w:val="none" w:sz="0" w:space="0" w:color="auto"/>
        <w:bottom w:val="none" w:sz="0" w:space="0" w:color="auto"/>
        <w:right w:val="none" w:sz="0" w:space="0" w:color="auto"/>
      </w:divBdr>
      <w:divsChild>
        <w:div w:id="126094974">
          <w:marLeft w:val="0"/>
          <w:marRight w:val="0"/>
          <w:marTop w:val="0"/>
          <w:marBottom w:val="0"/>
          <w:divBdr>
            <w:top w:val="none" w:sz="0" w:space="0" w:color="auto"/>
            <w:left w:val="none" w:sz="0" w:space="0" w:color="auto"/>
            <w:bottom w:val="none" w:sz="0" w:space="0" w:color="auto"/>
            <w:right w:val="none" w:sz="0" w:space="0" w:color="auto"/>
          </w:divBdr>
        </w:div>
        <w:div w:id="2144034354">
          <w:marLeft w:val="0"/>
          <w:marRight w:val="0"/>
          <w:marTop w:val="0"/>
          <w:marBottom w:val="0"/>
          <w:divBdr>
            <w:top w:val="none" w:sz="0" w:space="0" w:color="auto"/>
            <w:left w:val="none" w:sz="0" w:space="0" w:color="auto"/>
            <w:bottom w:val="none" w:sz="0" w:space="0" w:color="auto"/>
            <w:right w:val="none" w:sz="0" w:space="0" w:color="auto"/>
          </w:divBdr>
        </w:div>
        <w:div w:id="1015230047">
          <w:marLeft w:val="0"/>
          <w:marRight w:val="0"/>
          <w:marTop w:val="0"/>
          <w:marBottom w:val="0"/>
          <w:divBdr>
            <w:top w:val="none" w:sz="0" w:space="0" w:color="auto"/>
            <w:left w:val="none" w:sz="0" w:space="0" w:color="auto"/>
            <w:bottom w:val="none" w:sz="0" w:space="0" w:color="auto"/>
            <w:right w:val="none" w:sz="0" w:space="0" w:color="auto"/>
          </w:divBdr>
        </w:div>
      </w:divsChild>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4D70E-F7AD-495E-A700-A4370A210116}"/>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Iwilfin 6294-A SGM 2023</vt:lpstr>
    </vt:vector>
  </TitlesOfParts>
  <Company>PCS Health Systems</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Iwilfin 6294-A SGM 2023</dc:title>
  <dc:subject/>
  <dc:creator>CVS Caremark</dc:creator>
  <cp:keywords/>
  <cp:lastModifiedBy>Nievera, Carly ONeill</cp:lastModifiedBy>
  <cp:revision>5</cp:revision>
  <cp:lastPrinted>2018-01-09T08:01:00Z</cp:lastPrinted>
  <dcterms:created xsi:type="dcterms:W3CDTF">2024-11-04T22:28:00Z</dcterms:created>
  <dcterms:modified xsi:type="dcterms:W3CDTF">2024-11-04T22:29:00Z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1670800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